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 RAN WG2#128</w:t>
        <w:tab/>
        <w:t xml:space="preserve">R2-2410787</w:t>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Orlando, USA, 18th - 22nd November 2024</w:t>
      </w:r>
    </w:p>
    <w:p w:rsidR="00000000" w:rsidDel="00000000" w:rsidP="00000000" w:rsidRDefault="00000000" w:rsidRPr="00000000" w14:paraId="00000003">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8.7.6 </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RAN Awareness and UL Rate Control for XR</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4"/>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1fob9te" w:id="0"/>
      <w:bookmarkEnd w:id="0"/>
      <w:r w:rsidDel="00000000" w:rsidR="00000000" w:rsidRPr="00000000">
        <w:rPr>
          <w:rFonts w:ascii="Times New Roman" w:cs="Times New Roman" w:eastAsia="Times New Roman" w:hAnsi="Times New Roman"/>
          <w:b w:val="1"/>
          <w:sz w:val="24"/>
          <w:szCs w:val="24"/>
          <w:rtl w:val="0"/>
        </w:rPr>
        <w:t xml:space="preserve">Introduction</w:t>
      </w:r>
      <w:r w:rsidDel="00000000" w:rsidR="00000000" w:rsidRPr="00000000">
        <w:rPr>
          <w:rtl w:val="0"/>
        </w:rPr>
      </w:r>
    </w:p>
    <w:p w:rsidR="00000000" w:rsidDel="00000000" w:rsidP="00000000" w:rsidRDefault="00000000" w:rsidRPr="00000000" w14:paraId="0000000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 #103 plenary meeting, a new WI objective on RAN awareness and UL rate control was approved in the Phase 3 XR WID [1]:</w:t>
      </w:r>
    </w:p>
    <w:p w:rsidR="00000000" w:rsidDel="00000000" w:rsidP="00000000" w:rsidRDefault="00000000" w:rsidRPr="00000000" w14:paraId="0000000A">
      <w:pPr>
        <w:spacing w:line="240" w:lineRule="auto"/>
        <w:rPr>
          <w:rFonts w:ascii="Times New Roman" w:cs="Times New Roman" w:eastAsia="Times New Roman" w:hAnsi="Times New Roman"/>
          <w:sz w:val="24"/>
          <w:szCs w:val="24"/>
        </w:rPr>
      </w:pPr>
      <w:r w:rsidDel="00000000" w:rsidR="00000000" w:rsidRPr="00000000">
        <w:rPr>
          <w:rtl w:val="0"/>
        </w:rPr>
      </w:r>
    </w:p>
    <w:tbl>
      <w:tblPr>
        <w:tblStyle w:val="Table1"/>
        <w:tblW w:w="9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vAlign w:val="center"/>
          </w:tcPr>
          <w:p w:rsidR="00000000" w:rsidDel="00000000" w:rsidP="00000000" w:rsidRDefault="00000000" w:rsidRPr="00000000" w14:paraId="0000000B">
            <w:pPr>
              <w:numPr>
                <w:ilvl w:val="0"/>
                <w:numId w:val="2"/>
              </w:numPr>
              <w:spacing w:after="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uplink congestion signalling [RAN2]: </w:t>
            </w:r>
          </w:p>
          <w:p w:rsidR="00000000" w:rsidDel="00000000" w:rsidP="00000000" w:rsidRDefault="00000000" w:rsidRPr="00000000" w14:paraId="0000000C">
            <w:pPr>
              <w:numPr>
                <w:ilvl w:val="1"/>
                <w:numId w:val="2"/>
              </w:numPr>
              <w:spacing w:after="240" w:before="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in MAC layer XR rate control signalling over downlink per QoS flow/per DRB to enable faster source rate adaption to uplink congestion.</w:t>
            </w:r>
          </w:p>
        </w:tc>
      </w:tr>
    </w:tbl>
    <w:p w:rsidR="00000000" w:rsidDel="00000000" w:rsidP="00000000" w:rsidRDefault="00000000" w:rsidRPr="00000000" w14:paraId="0000000D">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RAN2#127-bis meeting, the following are agreed:</w:t>
      </w:r>
    </w:p>
    <w:p w:rsidR="00000000" w:rsidDel="00000000" w:rsidP="00000000" w:rsidRDefault="00000000" w:rsidRPr="00000000" w14:paraId="0000000F">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tbl>
      <w:tblPr>
        <w:tblStyle w:val="Table2"/>
        <w:tblW w:w="93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00"/>
        <w:tblGridChange w:id="0">
          <w:tblGrid>
            <w:gridCol w:w="9300"/>
          </w:tblGrid>
        </w:tblGridChange>
      </w:tblGrid>
      <w:tr>
        <w:trPr>
          <w:cantSplit w:val="0"/>
          <w:trHeight w:val="29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0">
            <w:pPr>
              <w:tabs>
                <w:tab w:val="center" w:leader="none" w:pos="4536"/>
                <w:tab w:val="right" w:leader="none" w:pos="9072"/>
                <w:tab w:val="left" w:leader="none" w:pos="1800"/>
              </w:tabs>
              <w:spacing w:after="240" w:before="24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if the indication is per DRB or per QoS flow. Companies should analyse the impact on QoS enforcement, interworking with L4S etc.</w:t>
            </w:r>
          </w:p>
          <w:p w:rsidR="00000000" w:rsidDel="00000000" w:rsidP="00000000" w:rsidRDefault="00000000" w:rsidRPr="00000000" w14:paraId="00000011">
            <w:pPr>
              <w:tabs>
                <w:tab w:val="center" w:leader="none" w:pos="4536"/>
                <w:tab w:val="right" w:leader="none" w:pos="9072"/>
                <w:tab w:val="left" w:leader="none" w:pos="1800"/>
              </w:tabs>
              <w:spacing w:after="240" w:before="24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RAN2 to consider the following approaches to provide recommended bit rate values better fitting XR applications:</w:t>
            </w:r>
          </w:p>
          <w:p w:rsidR="00000000" w:rsidDel="00000000" w:rsidP="00000000" w:rsidRDefault="00000000" w:rsidRPr="00000000" w14:paraId="00000012">
            <w:pPr>
              <w:numPr>
                <w:ilvl w:val="0"/>
                <w:numId w:val="1"/>
              </w:numPr>
              <w:tabs>
                <w:tab w:val="center" w:leader="none" w:pos="4536"/>
                <w:tab w:val="right" w:leader="none" w:pos="9072"/>
                <w:tab w:val="left" w:leader="none" w:pos="1800"/>
              </w:tabs>
              <w:spacing w:after="0" w:afterAutospacing="0" w:before="24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Extend the Bit Rate field</w:t>
            </w:r>
          </w:p>
          <w:p w:rsidR="00000000" w:rsidDel="00000000" w:rsidP="00000000" w:rsidRDefault="00000000" w:rsidRPr="00000000" w14:paraId="00000013">
            <w:pPr>
              <w:numPr>
                <w:ilvl w:val="0"/>
                <w:numId w:val="1"/>
              </w:numPr>
              <w:tabs>
                <w:tab w:val="center" w:leader="none" w:pos="4536"/>
                <w:tab w:val="right" w:leader="none" w:pos="9072"/>
                <w:tab w:val="left" w:leader="none" w:pos="1800"/>
              </w:tabs>
              <w:spacing w:after="0" w:afterAutospacing="0" w:before="0" w:before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Define a new bit rate table to provide sufficient granularity for XR traffic</w:t>
            </w:r>
          </w:p>
          <w:p w:rsidR="00000000" w:rsidDel="00000000" w:rsidP="00000000" w:rsidRDefault="00000000" w:rsidRPr="00000000" w14:paraId="00000014">
            <w:pPr>
              <w:numPr>
                <w:ilvl w:val="0"/>
                <w:numId w:val="1"/>
              </w:numPr>
              <w:tabs>
                <w:tab w:val="center" w:leader="none" w:pos="4536"/>
                <w:tab w:val="right" w:leader="none" w:pos="9072"/>
                <w:tab w:val="left" w:leader="none" w:pos="1800"/>
              </w:tabs>
              <w:spacing w:after="240" w:before="0" w:before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Introduce new values for the bitRateMultiplier</w:t>
            </w:r>
          </w:p>
          <w:p w:rsidR="00000000" w:rsidDel="00000000" w:rsidP="00000000" w:rsidRDefault="00000000" w:rsidRPr="00000000" w14:paraId="00000015">
            <w:pPr>
              <w:tabs>
                <w:tab w:val="center" w:leader="none" w:pos="4536"/>
                <w:tab w:val="right" w:leader="none" w:pos="9072"/>
                <w:tab w:val="left" w:leader="none" w:pos="1800"/>
              </w:tabs>
              <w:spacing w:after="240" w:before="24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 LS to SA4 asking about range/granularity which is required</w:t>
            </w:r>
          </w:p>
        </w:tc>
      </w:tr>
    </w:tbl>
    <w:p w:rsidR="00000000" w:rsidDel="00000000" w:rsidP="00000000" w:rsidRDefault="00000000" w:rsidRPr="00000000" w14:paraId="00000016">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the FFS from the previous meeting on per DRB or per QoS flow indication.  </w:t>
      </w:r>
    </w:p>
    <w:p w:rsidR="00000000" w:rsidDel="00000000" w:rsidP="00000000" w:rsidRDefault="00000000" w:rsidRPr="00000000" w14:paraId="00000018">
      <w:pPr>
        <w:pStyle w:val="Heading1"/>
        <w:numPr>
          <w:ilvl w:val="0"/>
          <w:numId w:val="4"/>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3znysh7" w:id="1"/>
      <w:bookmarkEnd w:id="1"/>
      <w:r w:rsidDel="00000000" w:rsidR="00000000" w:rsidRPr="00000000">
        <w:rPr>
          <w:rFonts w:ascii="Times New Roman" w:cs="Times New Roman" w:eastAsia="Times New Roman" w:hAnsi="Times New Roman"/>
          <w:b w:val="1"/>
          <w:sz w:val="24"/>
          <w:szCs w:val="24"/>
          <w:rtl w:val="0"/>
        </w:rPr>
        <w:t xml:space="preserve">Discussion</w:t>
      </w:r>
      <w:r w:rsidDel="00000000" w:rsidR="00000000" w:rsidRPr="00000000">
        <w:rPr>
          <w:rtl w:val="0"/>
        </w:rPr>
      </w:r>
    </w:p>
    <w:p w:rsidR="00000000" w:rsidDel="00000000" w:rsidP="00000000" w:rsidRDefault="00000000" w:rsidRPr="00000000" w14:paraId="00000019">
      <w:pPr>
        <w:widowControl w:val="0"/>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XR Awareness has been extensively considered as part of Rel-18 XR WI. </w:t>
      </w:r>
      <w:r w:rsidDel="00000000" w:rsidR="00000000" w:rsidRPr="00000000">
        <w:rPr>
          <w:rFonts w:ascii="Times New Roman" w:cs="Times New Roman" w:eastAsia="Times New Roman" w:hAnsi="Times New Roman"/>
          <w:b w:val="1"/>
          <w:sz w:val="24"/>
          <w:szCs w:val="24"/>
          <w:rtl w:val="0"/>
        </w:rPr>
        <w:t xml:space="preserve">RAN Awareness</w:t>
      </w:r>
      <w:r w:rsidDel="00000000" w:rsidR="00000000" w:rsidRPr="00000000">
        <w:rPr>
          <w:rFonts w:ascii="Times New Roman" w:cs="Times New Roman" w:eastAsia="Times New Roman" w:hAnsi="Times New Roman"/>
          <w:sz w:val="24"/>
          <w:szCs w:val="24"/>
          <w:rtl w:val="0"/>
        </w:rPr>
        <w:t xml:space="preserve"> [3] refers to making an XR application aware of RAN and network conditions, e.g., channel condition, cell load, congestion, QoS, FEC, etc. </w:t>
      </w:r>
    </w:p>
    <w:p w:rsidR="00000000" w:rsidDel="00000000" w:rsidP="00000000" w:rsidRDefault="00000000" w:rsidRPr="00000000" w14:paraId="0000001A">
      <w:pPr>
        <w:widowControl w:val="0"/>
        <w:spacing w:line="312"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XR applications are known to be latency-sensitive, and latency indication is a crucial piece of information that can benefit XR application rate control performance and improve its QoS and user experience. One key RAN Awareness information that would benefit XR application rate control performance is RAN congestion information.</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XR applications such as augmented calling use cases, the traffic is bi-directional, and the UL is often the performance bottleneck. To address this issue, UL congestion information-based XR rate control and the ECN/L4S approach form an integrated solution to address RAN congestion while enhancing the QoS and user experience for XR applications.</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UL congestion information-based XR rate control offers several performance gains. Firstly, it provides fast and direct signaling unbounded by round-trip delay, resulting in further enhancements to the latency performance of XR applications. Secondly, it is a RAN-native solution that does not rely on transport layer congestion feedback mechanisms. Finally, it is guaranteed to work without the risk of losing the L4S marking along the network path, which is an issue observed in most network deployments where the L4S markings at the IP header are removed at intermediate nodes outside of the RAN network. This issue prevents the L4S solution from functioning properly in the UL.</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MAC specification ([11], 6.1.3.20), recommended bitrate MAC CE is supported to signal the uplink bit rate from the RAN to the UE over downlink. The legacy recommended bit rate MAC CE is not tailored for XR service and use cases, but can be enhanced to support UL congestion signaling and XR rate control. The recommended bitrate MAC CE is a per-DRB level indication. However, this is not sufficient for XR application to dynamically adapt to the source bitrate when congestion occurs.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First and foremost, the RAN awareness and UL rate control objective is driven by the real-world need to deliver immersive and low-latency XR services and user experiences. At its core, this objective aims to support enhanced and differentiated QoS for XR applications. However, DRB-level indication undermines the purpose of this feature, rendering it ineffective. For instance, when all QoS flows are mapped to a single DRB, the XR application cannot benefit from the coarse per-DRB indication. Although XR applications can allocate DRB-level bit rates to individual QoS flows, there can be a disconnect between the XR application and the RAN. A QoS flow-level indication is critical for facilitating the XR application's ability to effectively adapt to network congestion on a per-QoS flow level and meet per-QoS flow requirements.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Observation 1:</w:t>
      </w:r>
      <w:r w:rsidDel="00000000" w:rsidR="00000000" w:rsidRPr="00000000">
        <w:rPr>
          <w:rFonts w:ascii="Times New Roman" w:cs="Times New Roman" w:eastAsia="Times New Roman" w:hAnsi="Times New Roman"/>
          <w:sz w:val="24"/>
          <w:szCs w:val="24"/>
          <w:rtl w:val="0"/>
        </w:rPr>
        <w:t xml:space="preserve"> A QoS flow  indication is critical for facilitating the XR application's ability to effectively adapt to network congestion on a flow level and meet QoS requirements.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Secondly, at the XR application level, per-flow estimation of network conditions such as RTT and packet loss is performed. Additionally, L4S is another effective means to improve latency performance and address network congestion on the QoS level. To ensure seamless interworking with existing latency reduction and QoS enhancement techniques, it is desirable to support UL rate control indication on a per-QoS flow basis.</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Observation 2:</w:t>
      </w:r>
      <w:r w:rsidDel="00000000" w:rsidR="00000000" w:rsidRPr="00000000">
        <w:rPr>
          <w:rFonts w:ascii="Times New Roman" w:cs="Times New Roman" w:eastAsia="Times New Roman" w:hAnsi="Times New Roman"/>
          <w:sz w:val="24"/>
          <w:szCs w:val="24"/>
          <w:rtl w:val="0"/>
        </w:rPr>
        <w:t xml:space="preserve"> A QoS flow level indication ensures seamless interworking with existing latency reduction and QoS enhancement techniques.</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Furthermore, network exposure of per QoS flow/per DRB congestion information was discussed in RAN2 [4]. It was agreed that: </w:t>
      </w:r>
    </w:p>
    <w:p w:rsidR="00000000" w:rsidDel="00000000" w:rsidP="00000000" w:rsidRDefault="00000000" w:rsidRPr="00000000" w14:paraId="0000002C">
      <w:pPr>
        <w:widowControl w:val="0"/>
        <w:numPr>
          <w:ilvl w:val="0"/>
          <w:numId w:val="3"/>
        </w:numPr>
        <w:spacing w:line="312"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feasible for RAN to estimate the congestion information per-QoS flow and per-DRB in downlink and uplink directions.</w:t>
      </w:r>
    </w:p>
    <w:p w:rsidR="00000000" w:rsidDel="00000000" w:rsidP="00000000" w:rsidRDefault="00000000" w:rsidRPr="00000000" w14:paraId="0000002D">
      <w:pPr>
        <w:widowControl w:val="0"/>
        <w:numPr>
          <w:ilvl w:val="0"/>
          <w:numId w:val="3"/>
        </w:numPr>
        <w:spacing w:line="312"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feasible for RAN to estimate the congestion information per-QoS flow and per-DRB in uplink without UE impacts.</w:t>
      </w:r>
    </w:p>
    <w:p w:rsidR="00000000" w:rsidDel="00000000" w:rsidP="00000000" w:rsidRDefault="00000000" w:rsidRPr="00000000" w14:paraId="0000002E">
      <w:pPr>
        <w:widowControl w:val="0"/>
        <w:spacing w:line="312"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F">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Observation 3:</w:t>
      </w:r>
      <w:r w:rsidDel="00000000" w:rsidR="00000000" w:rsidRPr="00000000">
        <w:rPr>
          <w:rFonts w:ascii="Times New Roman" w:cs="Times New Roman" w:eastAsia="Times New Roman" w:hAnsi="Times New Roman"/>
          <w:sz w:val="24"/>
          <w:szCs w:val="24"/>
          <w:rtl w:val="0"/>
        </w:rPr>
        <w:t xml:space="preserve"> It is feasible for RAN to estimate the congestion information per-QoS flow. </w:t>
      </w:r>
    </w:p>
    <w:p w:rsidR="00000000" w:rsidDel="00000000" w:rsidP="00000000" w:rsidRDefault="00000000" w:rsidRPr="00000000" w14:paraId="00000030">
      <w:pPr>
        <w:widowControl w:val="0"/>
        <w:spacing w:line="312"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widowControl w:val="0"/>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Based on the above observations, per-DRB indication of UL rate control is not sufficient and per-QoS flow indication needs to be supported. </w:t>
      </w:r>
    </w:p>
    <w:p w:rsidR="00000000" w:rsidDel="00000000" w:rsidP="00000000" w:rsidRDefault="00000000" w:rsidRPr="00000000" w14:paraId="00000032">
      <w:pPr>
        <w:widowControl w:val="0"/>
        <w:spacing w:line="312"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w:t>
      </w:r>
      <w:r w:rsidDel="00000000" w:rsidR="00000000" w:rsidRPr="00000000">
        <w:rPr>
          <w:rFonts w:ascii="Times New Roman" w:cs="Times New Roman" w:eastAsia="Times New Roman" w:hAnsi="Times New Roman"/>
          <w:sz w:val="24"/>
          <w:szCs w:val="24"/>
          <w:rtl w:val="0"/>
        </w:rPr>
        <w:t xml:space="preserve"> Support per-QoS flow indication of MAC layer XR rate control. </w:t>
      </w:r>
    </w:p>
    <w:p w:rsidR="00000000" w:rsidDel="00000000" w:rsidP="00000000" w:rsidRDefault="00000000" w:rsidRPr="00000000" w14:paraId="00000034">
      <w:pPr>
        <w:pStyle w:val="Heading1"/>
        <w:numPr>
          <w:ilvl w:val="0"/>
          <w:numId w:val="4"/>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4d34og8" w:id="2"/>
      <w:bookmarkEnd w:id="2"/>
      <w:r w:rsidDel="00000000" w:rsidR="00000000" w:rsidRPr="00000000">
        <w:rPr>
          <w:rFonts w:ascii="Times New Roman" w:cs="Times New Roman" w:eastAsia="Times New Roman" w:hAnsi="Times New Roman"/>
          <w:b w:val="1"/>
          <w:sz w:val="24"/>
          <w:szCs w:val="24"/>
          <w:rtl w:val="0"/>
        </w:rPr>
        <w:t xml:space="preserve">Conclusion </w:t>
      </w:r>
      <w:r w:rsidDel="00000000" w:rsidR="00000000" w:rsidRPr="00000000">
        <w:rPr>
          <w:rtl w:val="0"/>
        </w:rPr>
      </w:r>
    </w:p>
    <w:p w:rsidR="00000000" w:rsidDel="00000000" w:rsidP="00000000" w:rsidRDefault="00000000" w:rsidRPr="00000000" w14:paraId="00000035">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RAN awareness and UL rate control for XR. </w:t>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Observation 1:</w:t>
      </w:r>
      <w:r w:rsidDel="00000000" w:rsidR="00000000" w:rsidRPr="00000000">
        <w:rPr>
          <w:rFonts w:ascii="Times New Roman" w:cs="Times New Roman" w:eastAsia="Times New Roman" w:hAnsi="Times New Roman"/>
          <w:sz w:val="24"/>
          <w:szCs w:val="24"/>
          <w:rtl w:val="0"/>
        </w:rPr>
        <w:t xml:space="preserve"> A QoS flow  indication is critical for facilitating the XR application's ability to effectively adapt to network congestion on a flow level and meet QoS requirements. </w:t>
      </w:r>
    </w:p>
    <w:p w:rsidR="00000000" w:rsidDel="00000000" w:rsidP="00000000" w:rsidRDefault="00000000" w:rsidRPr="00000000" w14:paraId="00000038">
      <w:pPr>
        <w:widowControl w:val="0"/>
        <w:spacing w:line="312"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9">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Observation 2:</w:t>
      </w:r>
      <w:r w:rsidDel="00000000" w:rsidR="00000000" w:rsidRPr="00000000">
        <w:rPr>
          <w:rFonts w:ascii="Times New Roman" w:cs="Times New Roman" w:eastAsia="Times New Roman" w:hAnsi="Times New Roman"/>
          <w:sz w:val="24"/>
          <w:szCs w:val="24"/>
          <w:rtl w:val="0"/>
        </w:rPr>
        <w:t xml:space="preserve"> A QoS flow level indication ensures seamless interworking with existing latency reduction and QoS enhancement techniques.</w:t>
      </w:r>
    </w:p>
    <w:p w:rsidR="00000000" w:rsidDel="00000000" w:rsidP="00000000" w:rsidRDefault="00000000" w:rsidRPr="00000000" w14:paraId="0000003A">
      <w:pPr>
        <w:widowControl w:val="0"/>
        <w:spacing w:line="312"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B">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Observation 3:</w:t>
      </w:r>
      <w:r w:rsidDel="00000000" w:rsidR="00000000" w:rsidRPr="00000000">
        <w:rPr>
          <w:rFonts w:ascii="Times New Roman" w:cs="Times New Roman" w:eastAsia="Times New Roman" w:hAnsi="Times New Roman"/>
          <w:sz w:val="24"/>
          <w:szCs w:val="24"/>
          <w:rtl w:val="0"/>
        </w:rPr>
        <w:t xml:space="preserve"> It is feasible for RAN to estimate the congestion information per-QoS flow. </w:t>
      </w:r>
    </w:p>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w:t>
      </w:r>
      <w:r w:rsidDel="00000000" w:rsidR="00000000" w:rsidRPr="00000000">
        <w:rPr>
          <w:rFonts w:ascii="Times New Roman" w:cs="Times New Roman" w:eastAsia="Times New Roman" w:hAnsi="Times New Roman"/>
          <w:sz w:val="24"/>
          <w:szCs w:val="24"/>
          <w:rtl w:val="0"/>
        </w:rPr>
        <w:t xml:space="preserve"> Support per QoS flow level indication of MAC layer XR rate control. </w:t>
      </w:r>
    </w:p>
    <w:p w:rsidR="00000000" w:rsidDel="00000000" w:rsidP="00000000" w:rsidRDefault="00000000" w:rsidRPr="00000000" w14:paraId="0000003E">
      <w:pPr>
        <w:pStyle w:val="Heading1"/>
        <w:numPr>
          <w:ilvl w:val="0"/>
          <w:numId w:val="4"/>
        </w:numPr>
        <w:pBdr>
          <w:top w:color="000000" w:space="3" w:sz="12" w:val="single"/>
        </w:pBdr>
        <w:spacing w:after="180" w:before="240" w:line="240" w:lineRule="auto"/>
        <w:ind w:left="432" w:hanging="43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References </w:t>
      </w:r>
      <w:r w:rsidDel="00000000" w:rsidR="00000000" w:rsidRPr="00000000">
        <w:rPr>
          <w:rtl w:val="0"/>
        </w:rPr>
      </w:r>
    </w:p>
    <w:p w:rsidR="00000000" w:rsidDel="00000000" w:rsidP="00000000" w:rsidRDefault="00000000" w:rsidRPr="00000000" w14:paraId="0000003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RP-241771, “Revised WID on XR (eXtended Reality) for NR Phase 3” Melbourne, Australia, September 9-12, 2024</w:t>
      </w:r>
    </w:p>
    <w:p w:rsidR="00000000" w:rsidDel="00000000" w:rsidP="00000000" w:rsidRDefault="00000000" w:rsidRPr="00000000" w14:paraId="00000040">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RP-234013, Moderator's summary on new WI XR (eXtended Reality) for NR Phase 3, MediaTek (Moderator)</w:t>
      </w:r>
    </w:p>
    <w:p w:rsidR="00000000" w:rsidDel="00000000" w:rsidP="00000000" w:rsidRDefault="00000000" w:rsidRPr="00000000" w14:paraId="00000041">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RP-233317, Meta’s Views on Rel-19 XR Evolution, Meta</w:t>
      </w:r>
    </w:p>
    <w:p w:rsidR="00000000" w:rsidDel="00000000" w:rsidP="00000000" w:rsidRDefault="00000000" w:rsidRPr="00000000" w14:paraId="00000042">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R2-2213226, Reply LS to SA2 on XR, vivo, Huawei</w:t>
      </w:r>
    </w:p>
    <w:p w:rsidR="00000000" w:rsidDel="00000000" w:rsidP="00000000" w:rsidRDefault="00000000" w:rsidRPr="00000000" w14:paraId="00000043">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TR 23.700-70, Study on architecture enhancement for Extended Reality and Media service (XRM); Phase 2</w:t>
      </w:r>
    </w:p>
    <w:p w:rsidR="00000000" w:rsidDel="00000000" w:rsidP="00000000" w:rsidRDefault="00000000" w:rsidRPr="00000000" w14:paraId="00000044">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SP-231198, New SID on 5GS XRM Ph2</w:t>
      </w:r>
    </w:p>
    <w:p w:rsidR="00000000" w:rsidDel="00000000" w:rsidP="00000000" w:rsidRDefault="00000000" w:rsidRPr="00000000" w14:paraId="00000045">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RP-240647, Discussion on Rel-19 XR WID, Meta, CATT, CMCC, Google, vivo, ZTE Corporation, Sanechips</w:t>
      </w:r>
    </w:p>
    <w:p w:rsidR="00000000" w:rsidDel="00000000" w:rsidP="00000000" w:rsidRDefault="00000000" w:rsidRPr="00000000" w14:paraId="00000046">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RP-241540, Discussion on Rel-19 XR WID, Meta, CATT, CMCC, Google, vivo, ZTE Corporation, Sanechips, Huawei, HiSilicon, Spreadtrum, Samsung, Apple, MediaTek</w:t>
      </w:r>
    </w:p>
    <w:p w:rsidR="00000000" w:rsidDel="00000000" w:rsidP="00000000" w:rsidRDefault="00000000" w:rsidRPr="00000000" w14:paraId="00000047">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RP-241651, Outcome from the XR discussion for NR Phase 3 WI scope, Nokia</w:t>
      </w:r>
    </w:p>
    <w:p w:rsidR="00000000" w:rsidDel="00000000" w:rsidP="00000000" w:rsidRDefault="00000000" w:rsidRPr="00000000" w14:paraId="0000004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RP-242224, “On RAN Awareness and UL Rate Control for XR”, Meta, CATT, CMCC, Google, vivo, ZTE Corporation, Sanechips, Huawei, HiSilicon, Spreadtrum, Samsung, Apple, MediaTek Inc., Futurewei</w:t>
      </w:r>
    </w:p>
    <w:p w:rsidR="00000000" w:rsidDel="00000000" w:rsidP="00000000" w:rsidRDefault="00000000" w:rsidRPr="00000000" w14:paraId="0000004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TS 38.321, “Medium Access Control (MAC) protocol specification”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WBz18aqMbsb+nwj9GrFAjHHrIQ==">CgMxLjAyCWguMWZvYjl0ZTIJaC4zem55c2g3MgloLjRkMzRvZzg4AHIhMW5fREtLOU9JbXEzX01Kd3ZMYkotc044RVVITjFXWFdr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